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CB2C" w14:textId="182F6BE2" w:rsidR="00457850" w:rsidRPr="00EC3344" w:rsidRDefault="000E1061" w:rsidP="00EC3344">
      <w:pPr>
        <w:jc w:val="center"/>
        <w:rPr>
          <w:b/>
          <w:bCs/>
          <w:u w:val="single"/>
        </w:rPr>
      </w:pPr>
      <w:r w:rsidRPr="00EC3344">
        <w:rPr>
          <w:b/>
          <w:bCs/>
          <w:u w:val="single"/>
        </w:rPr>
        <w:t xml:space="preserve">HEAD OF EDUCATION </w:t>
      </w:r>
      <w:r w:rsidR="001B2265" w:rsidRPr="00EC3344">
        <w:rPr>
          <w:b/>
          <w:bCs/>
          <w:u w:val="single"/>
        </w:rPr>
        <w:t xml:space="preserve">JOB DESRIPTION – </w:t>
      </w:r>
      <w:r w:rsidR="00EC3344" w:rsidRPr="00EC3344">
        <w:rPr>
          <w:b/>
          <w:bCs/>
          <w:u w:val="single"/>
        </w:rPr>
        <w:t>Chesterfield FC Academy</w:t>
      </w:r>
    </w:p>
    <w:p w14:paraId="6D56378E" w14:textId="77777777" w:rsidR="000E1061" w:rsidRDefault="000E1061">
      <w:pPr>
        <w:rPr>
          <w:b/>
          <w:bCs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D06963" w:rsidRPr="00D06963" w14:paraId="1C084DFF" w14:textId="77777777" w:rsidTr="00D06963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3EE0" w14:textId="30400E70" w:rsidR="00215B72" w:rsidRPr="00F977ED" w:rsidRDefault="00D06963" w:rsidP="00F977ED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696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Each Club which operates an Academy shall appoint a Head of Education who shall</w:t>
            </w:r>
            <w:r w:rsidR="00F977E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report to the Academy Manager </w:t>
            </w:r>
            <w:r w:rsidR="00215B72" w:rsidRPr="00F977E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and </w:t>
            </w:r>
            <w:r w:rsidRPr="00F977E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have responsibility </w:t>
            </w:r>
            <w:proofErr w:type="gramStart"/>
            <w:r w:rsidRPr="00F977E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</w:t>
            </w:r>
            <w:r w:rsidR="00215B72" w:rsidRPr="00F977E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</w:t>
            </w:r>
            <w:proofErr w:type="gramEnd"/>
          </w:p>
          <w:p w14:paraId="16CB6330" w14:textId="73CEB171" w:rsidR="00215B72" w:rsidRPr="00215B72" w:rsidRDefault="00D06963" w:rsidP="001357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organisation, management and delivery of the Club’s Education Programme</w:t>
            </w:r>
          </w:p>
          <w:p w14:paraId="2857F5FF" w14:textId="3957C772" w:rsidR="005A3FCE" w:rsidRPr="005A3FCE" w:rsidRDefault="00D06963" w:rsidP="001357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oversight of the Scholar </w:t>
            </w:r>
            <w:r w:rsidR="00F977E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ducation </w:t>
            </w:r>
            <w:r w:rsidR="00F977E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rogrammes</w:t>
            </w:r>
            <w:r w:rsidR="00215B72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including attendance at educational programme meetings, ensuring adherence to</w:t>
            </w:r>
            <w:r w:rsidR="00215B72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such programmes and, where required, taking appropriate action in the event that</w:t>
            </w:r>
            <w:r w:rsidR="005A3FCE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targets are not </w:t>
            </w:r>
            <w:r w:rsidR="005A3FCE"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met</w:t>
            </w:r>
          </w:p>
          <w:p w14:paraId="3DF19461" w14:textId="42E722A1" w:rsidR="00C80793" w:rsidRPr="00C80793" w:rsidRDefault="00D06963" w:rsidP="001357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ensuring that Scholars are appropriately managed and supported in respect of the</w:t>
            </w:r>
            <w:r w:rsidR="00C8079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‘End Point Assessment’ on the sporting excellence professional apprenticeship</w:t>
            </w:r>
            <w:r w:rsidR="00C8079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135781">
              <w:rPr>
                <w:rFonts w:ascii="Arial-BoldMT" w:eastAsia="Times New Roman" w:hAnsi="Arial-BoldMT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  <w:p w14:paraId="38280CE2" w14:textId="77777777" w:rsidR="006362BD" w:rsidRPr="006362BD" w:rsidRDefault="00D06963" w:rsidP="001357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educational progression of all Academy Players registered with the Club (subject</w:t>
            </w:r>
            <w:r w:rsidR="00C8079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the duties of any educational establishment at which an Academy Player’s</w:t>
            </w:r>
            <w:r w:rsidR="00C8079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education is taking place)</w:t>
            </w:r>
          </w:p>
          <w:p w14:paraId="4C1A529E" w14:textId="77777777" w:rsidR="006362BD" w:rsidRPr="006362BD" w:rsidRDefault="00D06963" w:rsidP="001357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ensuring that the education of an Academy Player engaged on the Hybrid or Full</w:t>
            </w:r>
            <w:r w:rsidR="006362B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Training Model is not prejudiced as a result of his being so engaged</w:t>
            </w:r>
          </w:p>
          <w:p w14:paraId="207D4FE6" w14:textId="77777777" w:rsidR="00D06963" w:rsidRPr="00F85CED" w:rsidRDefault="00D06963" w:rsidP="001357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ensuring all documents and records relating to the education of Academy Players</w:t>
            </w:r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required by these Rules are in place and </w:t>
            </w:r>
            <w:proofErr w:type="gramStart"/>
            <w:r w:rsidRPr="00135781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up-to-date</w:t>
            </w:r>
            <w:proofErr w:type="gramEnd"/>
          </w:p>
          <w:p w14:paraId="7D1ADA55" w14:textId="77777777" w:rsidR="00F85CED" w:rsidRPr="00F85CED" w:rsidRDefault="00F85CED" w:rsidP="001357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0696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undertake benchmarking of the educational progression of each year group of Academy</w:t>
            </w:r>
            <w:r w:rsidRPr="00D0696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Players engaged on the Hybrid and Full Time Training Models against national data, and</w:t>
            </w:r>
            <w:r w:rsidRPr="00D0696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make the result of that benchmarking available to the League</w:t>
            </w:r>
          </w:p>
          <w:p w14:paraId="5D998A6E" w14:textId="77777777" w:rsidR="00F85CED" w:rsidRPr="00444E4B" w:rsidRDefault="00444E4B" w:rsidP="001357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0696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ensure that the Academy’s educational provision reflects the strategy and performance</w:t>
            </w:r>
            <w:r w:rsidRPr="00D0696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targets set out in the Club’s Academy Performance Plan</w:t>
            </w:r>
          </w:p>
          <w:p w14:paraId="702CA48B" w14:textId="77777777" w:rsidR="00444E4B" w:rsidRPr="00B317F8" w:rsidRDefault="00444E4B" w:rsidP="001357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0696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hold Qualified Teacher Status (QTS) or Qualified Teacher Learning and Skills (QTLS) and</w:t>
            </w:r>
            <w:r w:rsidRPr="00D0696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have relevant experience (in the case of Category 1 and 2 Academies) or, </w:t>
            </w:r>
            <w:r w:rsidRPr="00B317F8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 a minimum,</w:t>
            </w:r>
            <w:r w:rsidRPr="00B317F8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possess a teaching qualification or further education teaching qualification (in the case of</w:t>
            </w:r>
            <w:r w:rsidRPr="00B317F8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Category 3 and Category 4 Academies)</w:t>
            </w:r>
          </w:p>
          <w:p w14:paraId="4FBCE0C9" w14:textId="06C7C046" w:rsidR="00B317F8" w:rsidRPr="00135781" w:rsidRDefault="00B317F8" w:rsidP="001357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06963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undertake Continued Professional Development organised by the Club</w:t>
            </w:r>
          </w:p>
        </w:tc>
      </w:tr>
    </w:tbl>
    <w:p w14:paraId="05A4FFD0" w14:textId="01EE59FB" w:rsidR="00D06963" w:rsidRPr="00D06963" w:rsidRDefault="00D06963" w:rsidP="00D06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0696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1C5CBAE8" w14:textId="77777777" w:rsidR="00D06963" w:rsidRPr="001B2265" w:rsidRDefault="00D06963">
      <w:pPr>
        <w:rPr>
          <w:b/>
          <w:bCs/>
        </w:rPr>
      </w:pPr>
    </w:p>
    <w:sectPr w:rsidR="00D06963" w:rsidRPr="001B2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8094E"/>
    <w:multiLevelType w:val="hybridMultilevel"/>
    <w:tmpl w:val="422C0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1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65"/>
    <w:rsid w:val="00027023"/>
    <w:rsid w:val="000E1061"/>
    <w:rsid w:val="00135781"/>
    <w:rsid w:val="00185447"/>
    <w:rsid w:val="001B2265"/>
    <w:rsid w:val="00215B72"/>
    <w:rsid w:val="004021FE"/>
    <w:rsid w:val="00444E4B"/>
    <w:rsid w:val="00457850"/>
    <w:rsid w:val="004C65D2"/>
    <w:rsid w:val="005A3FCE"/>
    <w:rsid w:val="006362BD"/>
    <w:rsid w:val="008D0823"/>
    <w:rsid w:val="00AB626A"/>
    <w:rsid w:val="00B317F8"/>
    <w:rsid w:val="00BB419C"/>
    <w:rsid w:val="00C80793"/>
    <w:rsid w:val="00D06963"/>
    <w:rsid w:val="00DF547C"/>
    <w:rsid w:val="00EC3344"/>
    <w:rsid w:val="00F26935"/>
    <w:rsid w:val="00F85CED"/>
    <w:rsid w:val="00F9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06DF"/>
  <w15:chartTrackingRefBased/>
  <w15:docId w15:val="{8FFCA710-213A-4A94-A245-F898A5C1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Tellus</dc:creator>
  <cp:keywords/>
  <dc:description/>
  <cp:lastModifiedBy>Toby Fawcett-Greaves</cp:lastModifiedBy>
  <cp:revision>13</cp:revision>
  <dcterms:created xsi:type="dcterms:W3CDTF">2025-08-11T11:04:00Z</dcterms:created>
  <dcterms:modified xsi:type="dcterms:W3CDTF">2025-08-11T11:14:00Z</dcterms:modified>
</cp:coreProperties>
</file>